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B641" w14:textId="77777777" w:rsidR="002B5155" w:rsidRPr="00E602D8" w:rsidRDefault="002B5155" w:rsidP="002B5155">
      <w:pPr>
        <w:pStyle w:val="Heading1"/>
      </w:pPr>
      <w:r w:rsidRPr="00E602D8">
        <w:t>Advisory System</w:t>
      </w:r>
    </w:p>
    <w:p w14:paraId="03E0A113" w14:textId="35FD856E" w:rsidR="002B5155" w:rsidRDefault="002B5155" w:rsidP="002B5155">
      <w:r w:rsidRPr="00E602D8">
        <w:t>Degr</w:t>
      </w:r>
      <w:r w:rsidR="00B91B56">
        <w:t>ee programs are planned by the advisory c</w:t>
      </w:r>
      <w:r w:rsidRPr="00E602D8">
        <w:t xml:space="preserve">ommittee after consultation with the </w:t>
      </w:r>
      <w:proofErr w:type="gramStart"/>
      <w:r w:rsidRPr="00E602D8">
        <w:t>student, unless</w:t>
      </w:r>
      <w:proofErr w:type="gramEnd"/>
      <w:r w:rsidRPr="00E602D8">
        <w:t xml:space="preserve"> a field of study has established a uniform curriculum. There is considerable flexibility in meeting special needs insofar as these are consistent with the reg</w:t>
      </w:r>
      <w:r w:rsidR="00501B58">
        <w:t xml:space="preserve">ulations of </w:t>
      </w:r>
      <w:r w:rsidR="00B07506">
        <w:t>T</w:t>
      </w:r>
      <w:r w:rsidRPr="00E602D8">
        <w:t xml:space="preserve">he Graduate School. A degree program may entail </w:t>
      </w:r>
      <w:r w:rsidR="0056720E">
        <w:t xml:space="preserve">coursework in more than one </w:t>
      </w:r>
      <w:r w:rsidRPr="00E602D8">
        <w:t>field of study, but each program must include a c</w:t>
      </w:r>
      <w:r w:rsidR="0056720E">
        <w:t xml:space="preserve">oherent emphasis within one </w:t>
      </w:r>
      <w:r w:rsidRPr="00E602D8">
        <w:t>existing field of study and area of concentration, if applicable.</w:t>
      </w:r>
    </w:p>
    <w:p w14:paraId="6660361F" w14:textId="13D31899" w:rsidR="00B07506" w:rsidRPr="00B07506" w:rsidRDefault="00B07506" w:rsidP="00C04FC6">
      <w:pPr>
        <w:pStyle w:val="Heading2"/>
      </w:pPr>
      <w:r w:rsidRPr="00B07506">
        <w:t xml:space="preserve">Major Advisors </w:t>
      </w:r>
    </w:p>
    <w:p w14:paraId="5B9017FD" w14:textId="193DDA8F" w:rsidR="002B5155" w:rsidRPr="00E602D8" w:rsidRDefault="00B07506" w:rsidP="002B5155">
      <w:r>
        <w:t xml:space="preserve">Each student in a graduate degree program must have a major advisor. </w:t>
      </w:r>
      <w:r w:rsidR="002B5155" w:rsidRPr="00E602D8">
        <w:t xml:space="preserve">A major advisor must be appointed </w:t>
      </w:r>
      <w:r>
        <w:t xml:space="preserve">to the Graduate Faculty </w:t>
      </w:r>
      <w:r w:rsidR="002B5155" w:rsidRPr="00E602D8">
        <w:t>at the ap</w:t>
      </w:r>
      <w:r w:rsidR="00501B58">
        <w:t xml:space="preserve">propriate level by the Dean of </w:t>
      </w:r>
      <w:r>
        <w:t>T</w:t>
      </w:r>
      <w:r w:rsidR="002B5155" w:rsidRPr="00E602D8">
        <w:t xml:space="preserve">he Graduate School, by authorization of the President of the University, to advise </w:t>
      </w:r>
      <w:r>
        <w:t>students at that level</w:t>
      </w:r>
      <w:r w:rsidRPr="00E602D8">
        <w:t xml:space="preserve"> </w:t>
      </w:r>
      <w:r w:rsidR="002B5155" w:rsidRPr="00E602D8">
        <w:t xml:space="preserve">in a particular field of study or area of concentration. Since consistency of direction is important, a durable relationship between the student and </w:t>
      </w:r>
      <w:r w:rsidR="00A65007">
        <w:t xml:space="preserve">the major </w:t>
      </w:r>
      <w:r w:rsidR="002B5155" w:rsidRPr="00E602D8">
        <w:t>advisor should be formed as early as possible. Occasionally, it may be desirable or appropriate for a student’s degree program to be directed by co-major</w:t>
      </w:r>
      <w:r w:rsidR="008A1D9D">
        <w:t xml:space="preserve"> advisors (</w:t>
      </w:r>
      <w:r w:rsidR="0056720E">
        <w:t>not more than two</w:t>
      </w:r>
      <w:r w:rsidR="008A1D9D">
        <w:t>).</w:t>
      </w:r>
      <w:r w:rsidR="002B5155" w:rsidRPr="00E602D8">
        <w:t xml:space="preserve"> Each co-major advisor must hold an appropriate Graduate Faculty appointment in the student’s field of study and area of concentration (if applicable).</w:t>
      </w:r>
    </w:p>
    <w:p w14:paraId="41F526B1" w14:textId="2314350C" w:rsidR="002B5155" w:rsidRPr="00E602D8" w:rsidRDefault="00A65007" w:rsidP="002B5155">
      <w:r w:rsidRPr="00E602D8">
        <w:t xml:space="preserve">In applying for admission, an applicant may indicate a preference for a particular major advisor. If at the time of admission an applicant expresses no preference, or if the preferred advisor is unable to accept, another advisor may be appointed. </w:t>
      </w:r>
      <w:r w:rsidR="002B5155" w:rsidRPr="00E602D8">
        <w:t>If a change of major advisor becomes necessary for any reason, the student must file a special form, bearing the sign</w:t>
      </w:r>
      <w:r w:rsidR="00501B58">
        <w:t xml:space="preserve">ature of the new advisor, with </w:t>
      </w:r>
      <w:r w:rsidR="007E13BD" w:rsidRPr="00CB2273">
        <w:t>the Office of the Registrar</w:t>
      </w:r>
      <w:r w:rsidR="002B5155" w:rsidRPr="00E602D8">
        <w:t xml:space="preserve">. </w:t>
      </w:r>
      <w:r w:rsidR="002B5155">
        <w:t xml:space="preserve">The </w:t>
      </w:r>
      <w:r w:rsidR="002B5155" w:rsidRPr="00E602D8">
        <w:t xml:space="preserve">Change of </w:t>
      </w:r>
      <w:r w:rsidR="00C32257" w:rsidRPr="00C32257">
        <w:t xml:space="preserve">Graduate </w:t>
      </w:r>
      <w:r w:rsidR="002B5155" w:rsidRPr="00E602D8">
        <w:t>Majo</w:t>
      </w:r>
      <w:r w:rsidR="00501B58">
        <w:t>r Advisor form can be found on t</w:t>
      </w:r>
      <w:r w:rsidR="002B5155" w:rsidRPr="00E602D8">
        <w:t xml:space="preserve">he </w:t>
      </w:r>
      <w:r w:rsidR="00995125">
        <w:t xml:space="preserve">Registrar’s </w:t>
      </w:r>
      <w:r w:rsidR="00B11879">
        <w:t>website at</w:t>
      </w:r>
      <w:r w:rsidR="002B5155" w:rsidRPr="00E602D8">
        <w:t xml:space="preserve"> </w:t>
      </w:r>
      <w:hyperlink r:id="rId8" w:tgtFrame="_blank" w:history="1">
        <w:r w:rsidR="00995125">
          <w:t>registrar</w:t>
        </w:r>
        <w:r w:rsidR="002B5155" w:rsidRPr="00C14764">
          <w:t>.uconn.edu</w:t>
        </w:r>
      </w:hyperlink>
      <w:r w:rsidR="002B5155" w:rsidRPr="00C14764">
        <w:t>.</w:t>
      </w:r>
    </w:p>
    <w:p w14:paraId="05997C47" w14:textId="414BE0B0" w:rsidR="007E1A0B" w:rsidRDefault="007E1A0B" w:rsidP="007E1A0B">
      <w:r w:rsidRPr="00E602D8">
        <w:t>The major advisor of any master’s or doctoral student is responsible for coordinating the supervisory work of the advisory committee. Therefore, when the major advisor is to be on leave or is not in residence, it is the major advisor’s responsibility to appoint an acting major advisor. The acting major advisor must be a member of the University’s Graduate Faculty or be fully eligible for such an appointment. The acting major advisor will assume all duties and responsibilities of the major advisor for the duration of the appointment.</w:t>
      </w:r>
      <w:r>
        <w:t xml:space="preserve"> </w:t>
      </w:r>
    </w:p>
    <w:p w14:paraId="6BD20B26" w14:textId="5A686C43" w:rsidR="001B7A9F" w:rsidRDefault="001B7A9F" w:rsidP="001B7A9F">
      <w:r w:rsidRPr="00561E93">
        <w:t xml:space="preserve">A member of the University of Connecticut faculty who has recently retired from active service or left the University without retiring may continue to serve on a student’s advisory committee (as a major or associate advisor) with the endorsement of the appropriate department head or program director, based on a reasonable expectation that the person will be able and willing to remain actively engaged in advising the student through the remainder of the student’s program. In addition, a retired member of the Graduate Faculty may be considered for appointment as major advisor for a </w:t>
      </w:r>
      <w:proofErr w:type="gramStart"/>
      <w:r w:rsidRPr="00561E93">
        <w:t>newly-admitted</w:t>
      </w:r>
      <w:proofErr w:type="gramEnd"/>
      <w:r w:rsidRPr="00561E93">
        <w:t xml:space="preserve"> master’s or doctoral student with the endorsement of the appropriate department or program head</w:t>
      </w:r>
      <w:r>
        <w:t>,</w:t>
      </w:r>
      <w:r w:rsidRPr="00561E93">
        <w:t xml:space="preserve"> based on substantial evidence of ongoing research and scholarly activity in the field. Separate application is required for each student for whom a faculty member who is no longer in active service at the University wishes to serve (or continue to serve) as major advisor. Such appointments are made by the Dean of The Graduate School with the advice of the Executive Committee.</w:t>
      </w:r>
    </w:p>
    <w:p w14:paraId="7402A77D" w14:textId="4D406353" w:rsidR="001B7A9F" w:rsidRPr="00326D74" w:rsidRDefault="001B7A9F" w:rsidP="00941B70">
      <w:pPr>
        <w:rPr>
          <w:rFonts w:eastAsia="Times New Roman"/>
        </w:rPr>
      </w:pPr>
      <w:r w:rsidRPr="00326D74">
        <w:rPr>
          <w:rFonts w:eastAsia="Times New Roman"/>
        </w:rPr>
        <w:t xml:space="preserve">If </w:t>
      </w:r>
      <w:r>
        <w:rPr>
          <w:rFonts w:eastAsia="Times New Roman"/>
        </w:rPr>
        <w:t xml:space="preserve">for any reason </w:t>
      </w:r>
      <w:r w:rsidRPr="00326D74">
        <w:rPr>
          <w:rFonts w:eastAsia="Times New Roman"/>
        </w:rPr>
        <w:t xml:space="preserve">a major advisor intends to resign from their role as major advisor, they must concurrently send a notification of the intent to resign to the student, the student’s department head or program director, and The Graduate School. The notification should include a date when the resignation is expected to become effective and a brief explanation of the circumstances or reasons that have led to the intended resignation. Whenever possible, the effective date should be at least 30 business days after the date of notification. The department head or program director must then work with the student, the major advisor, and the advisory committee to identify a new major advisor, making all reasonable efforts to identify such a person, and report the outcome of this process to The Graduate School within 30 </w:t>
      </w:r>
      <w:r w:rsidRPr="00326D74">
        <w:rPr>
          <w:rFonts w:eastAsia="Times New Roman"/>
        </w:rPr>
        <w:lastRenderedPageBreak/>
        <w:t xml:space="preserve">business days of the notification of intent to resign. This outcome would normally be one of the following:  </w:t>
      </w:r>
    </w:p>
    <w:p w14:paraId="24E05BD3" w14:textId="77777777" w:rsidR="001B7A9F" w:rsidRPr="00941B70" w:rsidRDefault="001B7A9F" w:rsidP="001B7A9F">
      <w:pPr>
        <w:widowControl/>
        <w:numPr>
          <w:ilvl w:val="0"/>
          <w:numId w:val="4"/>
        </w:numPr>
        <w:shd w:val="clear" w:color="auto" w:fill="FFFFFF"/>
        <w:tabs>
          <w:tab w:val="clear" w:pos="2160"/>
          <w:tab w:val="num" w:pos="720"/>
        </w:tabs>
        <w:autoSpaceDE/>
        <w:autoSpaceDN/>
        <w:adjustRightInd/>
        <w:spacing w:before="0"/>
        <w:ind w:left="720"/>
        <w:textAlignment w:val="auto"/>
        <w:rPr>
          <w:rFonts w:eastAsia="Times New Roman"/>
          <w:color w:val="201F1E"/>
          <w:szCs w:val="22"/>
        </w:rPr>
      </w:pPr>
      <w:r w:rsidRPr="00941B70">
        <w:rPr>
          <w:rFonts w:eastAsia="Times New Roman"/>
          <w:color w:val="201F1E"/>
          <w:szCs w:val="22"/>
        </w:rPr>
        <w:t xml:space="preserve">a suitable new major advisor has been </w:t>
      </w:r>
      <w:proofErr w:type="gramStart"/>
      <w:r w:rsidRPr="00941B70">
        <w:rPr>
          <w:rFonts w:eastAsia="Times New Roman"/>
          <w:color w:val="201F1E"/>
          <w:szCs w:val="22"/>
        </w:rPr>
        <w:t>found;</w:t>
      </w:r>
      <w:proofErr w:type="gramEnd"/>
      <w:r w:rsidRPr="00941B70">
        <w:rPr>
          <w:rFonts w:eastAsia="Times New Roman"/>
          <w:color w:val="201F1E"/>
          <w:szCs w:val="22"/>
        </w:rPr>
        <w:t xml:space="preserve"> </w:t>
      </w:r>
    </w:p>
    <w:p w14:paraId="4E2F7968" w14:textId="77777777" w:rsidR="001B7A9F" w:rsidRPr="00941B70" w:rsidRDefault="001B7A9F" w:rsidP="001B7A9F">
      <w:pPr>
        <w:widowControl/>
        <w:numPr>
          <w:ilvl w:val="0"/>
          <w:numId w:val="4"/>
        </w:numPr>
        <w:shd w:val="clear" w:color="auto" w:fill="FFFFFF"/>
        <w:tabs>
          <w:tab w:val="num" w:pos="-720"/>
        </w:tabs>
        <w:autoSpaceDE/>
        <w:autoSpaceDN/>
        <w:adjustRightInd/>
        <w:spacing w:before="0"/>
        <w:ind w:left="720"/>
        <w:textAlignment w:val="auto"/>
        <w:rPr>
          <w:rFonts w:eastAsia="Times New Roman"/>
          <w:color w:val="201F1E"/>
          <w:szCs w:val="22"/>
        </w:rPr>
      </w:pPr>
      <w:r w:rsidRPr="00941B70">
        <w:rPr>
          <w:rFonts w:eastAsia="Times New Roman"/>
          <w:color w:val="201F1E"/>
          <w:szCs w:val="22"/>
        </w:rPr>
        <w:t xml:space="preserve">the current major advisor has withdrawn the intention to resign and will remain as the student’s major </w:t>
      </w:r>
      <w:proofErr w:type="gramStart"/>
      <w:r w:rsidRPr="00941B70">
        <w:rPr>
          <w:rFonts w:eastAsia="Times New Roman"/>
          <w:color w:val="201F1E"/>
          <w:szCs w:val="22"/>
        </w:rPr>
        <w:t>advisor;</w:t>
      </w:r>
      <w:proofErr w:type="gramEnd"/>
      <w:r w:rsidRPr="00941B70">
        <w:rPr>
          <w:rFonts w:eastAsia="Times New Roman"/>
          <w:color w:val="201F1E"/>
          <w:szCs w:val="22"/>
        </w:rPr>
        <w:t xml:space="preserve"> </w:t>
      </w:r>
    </w:p>
    <w:p w14:paraId="0E5156C3" w14:textId="77777777" w:rsidR="001B7A9F" w:rsidRPr="00941B70" w:rsidRDefault="001B7A9F" w:rsidP="001B7A9F">
      <w:pPr>
        <w:widowControl/>
        <w:numPr>
          <w:ilvl w:val="0"/>
          <w:numId w:val="4"/>
        </w:numPr>
        <w:shd w:val="clear" w:color="auto" w:fill="FFFFFF"/>
        <w:tabs>
          <w:tab w:val="num" w:pos="-720"/>
        </w:tabs>
        <w:autoSpaceDE/>
        <w:autoSpaceDN/>
        <w:adjustRightInd/>
        <w:spacing w:before="0"/>
        <w:ind w:left="720"/>
        <w:textAlignment w:val="auto"/>
        <w:rPr>
          <w:rFonts w:eastAsia="Times New Roman"/>
          <w:color w:val="201F1E"/>
          <w:szCs w:val="22"/>
        </w:rPr>
      </w:pPr>
      <w:r w:rsidRPr="00941B70">
        <w:rPr>
          <w:rFonts w:eastAsia="Times New Roman"/>
          <w:color w:val="201F1E"/>
          <w:szCs w:val="22"/>
        </w:rPr>
        <w:t xml:space="preserve">the department or program has determined that the student is not academically qualified to remain in the program and is therefore recommending dismissal of the student; or </w:t>
      </w:r>
    </w:p>
    <w:p w14:paraId="617A315B" w14:textId="77777777" w:rsidR="001B7A9F" w:rsidRPr="00941B70" w:rsidRDefault="001B7A9F" w:rsidP="001B7A9F">
      <w:pPr>
        <w:widowControl/>
        <w:numPr>
          <w:ilvl w:val="0"/>
          <w:numId w:val="4"/>
        </w:numPr>
        <w:shd w:val="clear" w:color="auto" w:fill="FFFFFF"/>
        <w:tabs>
          <w:tab w:val="num" w:pos="-720"/>
        </w:tabs>
        <w:autoSpaceDE/>
        <w:autoSpaceDN/>
        <w:adjustRightInd/>
        <w:spacing w:before="0"/>
        <w:ind w:left="720"/>
        <w:textAlignment w:val="auto"/>
        <w:rPr>
          <w:rFonts w:eastAsia="Times New Roman"/>
          <w:color w:val="201F1E"/>
          <w:szCs w:val="22"/>
        </w:rPr>
      </w:pPr>
      <w:r w:rsidRPr="00941B70">
        <w:rPr>
          <w:rFonts w:eastAsia="Times New Roman"/>
          <w:color w:val="201F1E"/>
          <w:szCs w:val="22"/>
        </w:rPr>
        <w:t xml:space="preserve">the department or program has determined that the student is academically qualified to remain in the program but, despite reasonable efforts by all parties to find a new advisor, a new advisor cannot be found and therefore the department or program recommends termination of the student.  </w:t>
      </w:r>
    </w:p>
    <w:p w14:paraId="3D4BDEA4" w14:textId="01940DA6" w:rsidR="001B7A9F" w:rsidRPr="00E602D8" w:rsidRDefault="001B7A9F" w:rsidP="00941B70">
      <w:r w:rsidRPr="00326D74">
        <w:rPr>
          <w:rFonts w:eastAsia="Times New Roman"/>
        </w:rPr>
        <w:t xml:space="preserve">When the intended resignation occurs during a summer session or winter session, the 30 business days begin on the first day of classes of the next fall or spring semester. </w:t>
      </w:r>
      <w:r>
        <w:rPr>
          <w:rFonts w:eastAsia="Times New Roman"/>
        </w:rPr>
        <w:t xml:space="preserve">When resignation of a major advisor results in termination or dismissal, the </w:t>
      </w:r>
      <w:r w:rsidRPr="00326D74">
        <w:t xml:space="preserve">student may appeal the dismissal or termination under the provisions of the Appeal and Hearing Procedures. </w:t>
      </w:r>
    </w:p>
    <w:p w14:paraId="29BCC32A" w14:textId="3EBE20E6" w:rsidR="008A7099" w:rsidRPr="00A47C5C" w:rsidRDefault="008A7099" w:rsidP="00CF7E6B">
      <w:pPr>
        <w:pStyle w:val="Heading2"/>
      </w:pPr>
      <w:r>
        <w:t>Advisory Committees</w:t>
      </w:r>
    </w:p>
    <w:p w14:paraId="71A3CAE0" w14:textId="0317EC6D" w:rsidR="007E13BD" w:rsidRDefault="002B5155" w:rsidP="002B5155">
      <w:r w:rsidRPr="00E602D8">
        <w:t xml:space="preserve">Unless a field of study has established another advisory system, </w:t>
      </w:r>
      <w:r w:rsidR="006A06EF">
        <w:t>a student must also have an advisory committee. The advisory committee</w:t>
      </w:r>
      <w:r w:rsidRPr="00E602D8">
        <w:t xml:space="preserve"> is formed after consultation between the major advisor and the student</w:t>
      </w:r>
      <w:r>
        <w:t xml:space="preserve">. </w:t>
      </w:r>
      <w:r w:rsidRPr="00E602D8">
        <w:t xml:space="preserve">The advisory </w:t>
      </w:r>
      <w:r w:rsidR="00C04FC6" w:rsidRPr="00E602D8">
        <w:t>committee</w:t>
      </w:r>
      <w:r w:rsidR="00C04FC6">
        <w:t xml:space="preserve"> </w:t>
      </w:r>
      <w:r w:rsidR="00C04FC6" w:rsidRPr="00E602D8">
        <w:t>must</w:t>
      </w:r>
      <w:r w:rsidRPr="00E602D8">
        <w:t xml:space="preserve"> include at least two</w:t>
      </w:r>
      <w:r w:rsidR="0056720E">
        <w:t xml:space="preserve"> associate advisors, one </w:t>
      </w:r>
      <w:r w:rsidRPr="00E602D8">
        <w:t>of whom must hold a current appointment to the Graduate Faculty</w:t>
      </w:r>
      <w:r w:rsidR="006A06EF">
        <w:t xml:space="preserve"> at the appropriate level in the student’s particular field of study or area of concentration</w:t>
      </w:r>
      <w:r w:rsidR="006A06EF" w:rsidRPr="00E602D8">
        <w:t>.</w:t>
      </w:r>
      <w:r w:rsidRPr="00E602D8">
        <w:t xml:space="preserve"> An associate advisor must possess suitable academic or scientific credentials in the student’s field of study. </w:t>
      </w:r>
      <w:r w:rsidR="006A06EF">
        <w:t>In addition to the three</w:t>
      </w:r>
      <w:r w:rsidR="006A06EF" w:rsidRPr="00E602D8">
        <w:t xml:space="preserve"> or more members, another member, ordinarily a member of the Graduate Faculty outside the student’s field of study but in a related field</w:t>
      </w:r>
      <w:r w:rsidR="00B43C87">
        <w:t>,</w:t>
      </w:r>
      <w:r w:rsidR="006A06EF" w:rsidRPr="00E602D8">
        <w:t xml:space="preserve"> may be appointed by the Dean.</w:t>
      </w:r>
      <w:r w:rsidR="006A06EF">
        <w:t xml:space="preserve"> </w:t>
      </w:r>
      <w:r w:rsidR="007E13BD" w:rsidRPr="008E5018">
        <w:t>A current graduate student may not serve as a member of another graduate student’s advisory committee.</w:t>
      </w:r>
    </w:p>
    <w:p w14:paraId="078DEDDC" w14:textId="00DAD125" w:rsidR="008E5018" w:rsidRDefault="008E5018" w:rsidP="002B5155">
      <w:r w:rsidRPr="008E5018">
        <w:t xml:space="preserve">If deemed appropriate by a graduate student’s major advisor, the major advisor may request that a suitably qualified external associate advisor be appointed to the student’s advisory committee by writing to The Graduate School. The request should be accompanied by </w:t>
      </w:r>
      <w:r w:rsidR="00212C52">
        <w:t xml:space="preserve">a </w:t>
      </w:r>
      <w:r w:rsidRPr="008E5018">
        <w:t xml:space="preserve">curriculum vitae for the individual being recommended for appointment. Such appointments are made </w:t>
      </w:r>
      <w:proofErr w:type="gramStart"/>
      <w:r w:rsidRPr="008E5018">
        <w:t>on the basis of</w:t>
      </w:r>
      <w:proofErr w:type="gramEnd"/>
      <w:r w:rsidRPr="008E5018">
        <w:t xml:space="preserve"> advanced training and significant experience in the field of study. An appointment as external associate advisor is limited to an individual student’s advisory committee and does not imply in any way membership on the Graduate Faculty of the University. Ordinarily, not more than one external associate advisor is appointed to any master’s or doctoral student’s advisory committee. Readers, examiners, or other reviewers who have not been recognized as associate advisors by The Graduate School are not members of the student’s advisory committee. </w:t>
      </w:r>
    </w:p>
    <w:p w14:paraId="71654A08" w14:textId="2FE7E785" w:rsidR="002B5155" w:rsidRPr="00E602D8" w:rsidRDefault="002B5155" w:rsidP="002B5155">
      <w:r w:rsidRPr="00E602D8">
        <w:t>The advisory committee should be formed before the student has completed 12</w:t>
      </w:r>
      <w:r w:rsidR="00995125">
        <w:t xml:space="preserve"> </w:t>
      </w:r>
      <w:r w:rsidRPr="00E602D8">
        <w:t>credits of degree program coursework and shall then supervise the remainder of the student’s degree program.</w:t>
      </w:r>
      <w:r w:rsidR="008E5018">
        <w:t xml:space="preserve"> </w:t>
      </w:r>
      <w:r w:rsidR="008E5018" w:rsidRPr="00E602D8">
        <w:t>Students’ advisory committees are accou</w:t>
      </w:r>
      <w:r w:rsidR="008E5018">
        <w:t>ntable directly to the Dean of T</w:t>
      </w:r>
      <w:r w:rsidR="008E5018" w:rsidRPr="00E602D8">
        <w:t xml:space="preserve">he Graduate School. </w:t>
      </w:r>
    </w:p>
    <w:p w14:paraId="0F332C1B" w14:textId="28914AD4" w:rsidR="002952E4" w:rsidRPr="002B5155" w:rsidRDefault="008E5018" w:rsidP="008E5018">
      <w:r>
        <w:t xml:space="preserve">If the advisory committee consists of three members, decisions must be unanimous. If the advisory committee consists of four or more members, decisions are considered adopted if there </w:t>
      </w:r>
      <w:r w:rsidR="00212C52">
        <w:t xml:space="preserve">is </w:t>
      </w:r>
      <w:r>
        <w:t xml:space="preserve">no more than one negative vote, although the major advisor must always vote in the affirmative. </w:t>
      </w:r>
      <w:r w:rsidR="00212C52" w:rsidRPr="008C2C2F">
        <w:rPr>
          <w:rFonts w:eastAsia="Times New Roman"/>
        </w:rPr>
        <w:t>For Ph.D. students, advisory committee decisions involving the outcome of the General Examination, approval of the Dissertation Proposal, oral defense of the dissertation, or approval of the dissertation itself, must be unanimous.</w:t>
      </w:r>
    </w:p>
    <w:sectPr w:rsidR="002952E4" w:rsidRPr="002B515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A26A" w14:textId="77777777" w:rsidR="007E13BD" w:rsidRDefault="007E13BD" w:rsidP="00263DF5">
      <w:pPr>
        <w:spacing w:before="0"/>
      </w:pPr>
      <w:r>
        <w:separator/>
      </w:r>
    </w:p>
  </w:endnote>
  <w:endnote w:type="continuationSeparator" w:id="0">
    <w:p w14:paraId="3EDEA3EF" w14:textId="77777777" w:rsidR="007E13BD" w:rsidRDefault="007E13BD" w:rsidP="00263D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62586"/>
      <w:docPartObj>
        <w:docPartGallery w:val="Page Numbers (Bottom of Page)"/>
        <w:docPartUnique/>
      </w:docPartObj>
    </w:sdtPr>
    <w:sdtEndPr>
      <w:rPr>
        <w:noProof/>
      </w:rPr>
    </w:sdtEndPr>
    <w:sdtContent>
      <w:p w14:paraId="297D124A" w14:textId="5940C2A6" w:rsidR="007E13BD" w:rsidRDefault="007E13BD" w:rsidP="0000147F">
        <w:pPr>
          <w:pStyle w:val="Footer"/>
          <w:jc w:val="center"/>
        </w:pPr>
        <w:r>
          <w:fldChar w:fldCharType="begin"/>
        </w:r>
        <w:r>
          <w:instrText xml:space="preserve"> PAGE   \* MERGEFORMAT </w:instrText>
        </w:r>
        <w:r>
          <w:fldChar w:fldCharType="separate"/>
        </w:r>
        <w:r w:rsidR="00EB42A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BA67" w14:textId="77777777" w:rsidR="007E13BD" w:rsidRDefault="007E13BD" w:rsidP="00263DF5">
      <w:pPr>
        <w:spacing w:before="0"/>
      </w:pPr>
      <w:r>
        <w:separator/>
      </w:r>
    </w:p>
  </w:footnote>
  <w:footnote w:type="continuationSeparator" w:id="0">
    <w:p w14:paraId="3F49E434" w14:textId="77777777" w:rsidR="007E13BD" w:rsidRDefault="007E13BD" w:rsidP="00263D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49D" w14:textId="1D47669C" w:rsidR="007E13BD" w:rsidRDefault="007E13BD">
    <w:pPr>
      <w:pStyle w:val="Header"/>
    </w:pPr>
    <w:r>
      <w:t>ADVISORY SYSTEM - GRAD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C8D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4651DE"/>
    <w:multiLevelType w:val="hybridMultilevel"/>
    <w:tmpl w:val="D1A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362DF"/>
    <w:multiLevelType w:val="hybridMultilevel"/>
    <w:tmpl w:val="B4DA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42294"/>
    <w:multiLevelType w:val="hybridMultilevel"/>
    <w:tmpl w:val="0E7E57DA"/>
    <w:lvl w:ilvl="0" w:tplc="FFFFFFFF">
      <w:start w:val="1"/>
      <w:numFmt w:val="decimal"/>
      <w:lvlText w:val="(%1)"/>
      <w:lvlJc w:val="left"/>
      <w:pPr>
        <w:tabs>
          <w:tab w:val="num" w:pos="2160"/>
        </w:tabs>
        <w:ind w:left="2160" w:hanging="360"/>
      </w:pPr>
    </w:lvl>
    <w:lvl w:ilvl="1" w:tplc="FFFFFFFF" w:tentative="1">
      <w:start w:val="1"/>
      <w:numFmt w:val="decimal"/>
      <w:lvlText w:val="(%2)"/>
      <w:lvlJc w:val="left"/>
      <w:pPr>
        <w:tabs>
          <w:tab w:val="num" w:pos="2880"/>
        </w:tabs>
        <w:ind w:left="2880" w:hanging="360"/>
      </w:pPr>
    </w:lvl>
    <w:lvl w:ilvl="2" w:tplc="FFFFFFFF" w:tentative="1">
      <w:start w:val="1"/>
      <w:numFmt w:val="decimal"/>
      <w:lvlText w:val="(%3)"/>
      <w:lvlJc w:val="left"/>
      <w:pPr>
        <w:tabs>
          <w:tab w:val="num" w:pos="3600"/>
        </w:tabs>
        <w:ind w:left="3600" w:hanging="360"/>
      </w:pPr>
    </w:lvl>
    <w:lvl w:ilvl="3" w:tplc="FFFFFFFF" w:tentative="1">
      <w:start w:val="1"/>
      <w:numFmt w:val="decimal"/>
      <w:lvlText w:val="(%4)"/>
      <w:lvlJc w:val="left"/>
      <w:pPr>
        <w:tabs>
          <w:tab w:val="num" w:pos="4320"/>
        </w:tabs>
        <w:ind w:left="4320" w:hanging="360"/>
      </w:pPr>
    </w:lvl>
    <w:lvl w:ilvl="4" w:tplc="FFFFFFFF" w:tentative="1">
      <w:start w:val="1"/>
      <w:numFmt w:val="decimal"/>
      <w:lvlText w:val="(%5)"/>
      <w:lvlJc w:val="left"/>
      <w:pPr>
        <w:tabs>
          <w:tab w:val="num" w:pos="5040"/>
        </w:tabs>
        <w:ind w:left="5040" w:hanging="360"/>
      </w:pPr>
    </w:lvl>
    <w:lvl w:ilvl="5" w:tplc="FFFFFFFF" w:tentative="1">
      <w:start w:val="1"/>
      <w:numFmt w:val="decimal"/>
      <w:lvlText w:val="(%6)"/>
      <w:lvlJc w:val="left"/>
      <w:pPr>
        <w:tabs>
          <w:tab w:val="num" w:pos="5760"/>
        </w:tabs>
        <w:ind w:left="5760" w:hanging="360"/>
      </w:pPr>
    </w:lvl>
    <w:lvl w:ilvl="6" w:tplc="FFFFFFFF" w:tentative="1">
      <w:start w:val="1"/>
      <w:numFmt w:val="decimal"/>
      <w:lvlText w:val="(%7)"/>
      <w:lvlJc w:val="left"/>
      <w:pPr>
        <w:tabs>
          <w:tab w:val="num" w:pos="6480"/>
        </w:tabs>
        <w:ind w:left="6480" w:hanging="360"/>
      </w:pPr>
    </w:lvl>
    <w:lvl w:ilvl="7" w:tplc="FFFFFFFF" w:tentative="1">
      <w:start w:val="1"/>
      <w:numFmt w:val="decimal"/>
      <w:lvlText w:val="(%8)"/>
      <w:lvlJc w:val="left"/>
      <w:pPr>
        <w:tabs>
          <w:tab w:val="num" w:pos="7200"/>
        </w:tabs>
        <w:ind w:left="7200" w:hanging="360"/>
      </w:pPr>
    </w:lvl>
    <w:lvl w:ilvl="8" w:tplc="FFFFFFFF" w:tentative="1">
      <w:start w:val="1"/>
      <w:numFmt w:val="decimal"/>
      <w:lvlText w:val="(%9)"/>
      <w:lvlJc w:val="left"/>
      <w:pPr>
        <w:tabs>
          <w:tab w:val="num" w:pos="7920"/>
        </w:tabs>
        <w:ind w:left="7920" w:hanging="360"/>
      </w:pPr>
    </w:lvl>
  </w:abstractNum>
  <w:num w:numId="1" w16cid:durableId="894118636">
    <w:abstractNumId w:val="0"/>
  </w:num>
  <w:num w:numId="2" w16cid:durableId="1809471230">
    <w:abstractNumId w:val="1"/>
  </w:num>
  <w:num w:numId="3" w16cid:durableId="2014603616">
    <w:abstractNumId w:val="2"/>
  </w:num>
  <w:num w:numId="4" w16cid:durableId="17546568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F5"/>
    <w:rsid w:val="0000147F"/>
    <w:rsid w:val="00005BFA"/>
    <w:rsid w:val="00005CCC"/>
    <w:rsid w:val="00007079"/>
    <w:rsid w:val="00022B98"/>
    <w:rsid w:val="00022EFA"/>
    <w:rsid w:val="000361D4"/>
    <w:rsid w:val="000517EE"/>
    <w:rsid w:val="00057C98"/>
    <w:rsid w:val="0007436D"/>
    <w:rsid w:val="00082485"/>
    <w:rsid w:val="00097F19"/>
    <w:rsid w:val="000A0145"/>
    <w:rsid w:val="000A73A6"/>
    <w:rsid w:val="000B167D"/>
    <w:rsid w:val="000B25C5"/>
    <w:rsid w:val="000B2690"/>
    <w:rsid w:val="000B5A66"/>
    <w:rsid w:val="000C07DE"/>
    <w:rsid w:val="000C71B8"/>
    <w:rsid w:val="000D08FF"/>
    <w:rsid w:val="000D1D31"/>
    <w:rsid w:val="000F3E3F"/>
    <w:rsid w:val="00100EEE"/>
    <w:rsid w:val="001079C0"/>
    <w:rsid w:val="00113658"/>
    <w:rsid w:val="00123B3B"/>
    <w:rsid w:val="001306DA"/>
    <w:rsid w:val="00131EDA"/>
    <w:rsid w:val="001413D5"/>
    <w:rsid w:val="00143FE4"/>
    <w:rsid w:val="0015148A"/>
    <w:rsid w:val="0015242A"/>
    <w:rsid w:val="0016186C"/>
    <w:rsid w:val="00162EFE"/>
    <w:rsid w:val="00185747"/>
    <w:rsid w:val="001862A5"/>
    <w:rsid w:val="00193042"/>
    <w:rsid w:val="00197FAB"/>
    <w:rsid w:val="001A66BF"/>
    <w:rsid w:val="001B7351"/>
    <w:rsid w:val="001B7A9F"/>
    <w:rsid w:val="001C50BE"/>
    <w:rsid w:val="001D3B19"/>
    <w:rsid w:val="001E25AA"/>
    <w:rsid w:val="001E2797"/>
    <w:rsid w:val="001E7F53"/>
    <w:rsid w:val="00210CED"/>
    <w:rsid w:val="00212C52"/>
    <w:rsid w:val="00215D22"/>
    <w:rsid w:val="002362D3"/>
    <w:rsid w:val="0023742A"/>
    <w:rsid w:val="0024659C"/>
    <w:rsid w:val="00247DB0"/>
    <w:rsid w:val="002600B9"/>
    <w:rsid w:val="00263DF5"/>
    <w:rsid w:val="00274DB7"/>
    <w:rsid w:val="0028305E"/>
    <w:rsid w:val="00285076"/>
    <w:rsid w:val="002952E4"/>
    <w:rsid w:val="0029565F"/>
    <w:rsid w:val="002A4BB2"/>
    <w:rsid w:val="002B1C7D"/>
    <w:rsid w:val="002B5155"/>
    <w:rsid w:val="002C09BC"/>
    <w:rsid w:val="002C3B18"/>
    <w:rsid w:val="002E3EFF"/>
    <w:rsid w:val="00316E45"/>
    <w:rsid w:val="00320962"/>
    <w:rsid w:val="00327BE3"/>
    <w:rsid w:val="00336197"/>
    <w:rsid w:val="003465C8"/>
    <w:rsid w:val="00351CE2"/>
    <w:rsid w:val="00357991"/>
    <w:rsid w:val="0036449B"/>
    <w:rsid w:val="003648AF"/>
    <w:rsid w:val="00370F6D"/>
    <w:rsid w:val="003735F4"/>
    <w:rsid w:val="003738BD"/>
    <w:rsid w:val="003856F5"/>
    <w:rsid w:val="003910E3"/>
    <w:rsid w:val="00393BDD"/>
    <w:rsid w:val="00397049"/>
    <w:rsid w:val="003A2C59"/>
    <w:rsid w:val="003A68A9"/>
    <w:rsid w:val="003A7CA4"/>
    <w:rsid w:val="003C0314"/>
    <w:rsid w:val="003C647B"/>
    <w:rsid w:val="003E2D00"/>
    <w:rsid w:val="003E5E33"/>
    <w:rsid w:val="003F3AAF"/>
    <w:rsid w:val="00410F44"/>
    <w:rsid w:val="0041323B"/>
    <w:rsid w:val="0041466C"/>
    <w:rsid w:val="00414CBD"/>
    <w:rsid w:val="0041500F"/>
    <w:rsid w:val="00417DFC"/>
    <w:rsid w:val="00422D39"/>
    <w:rsid w:val="00434E9B"/>
    <w:rsid w:val="00435E83"/>
    <w:rsid w:val="00442943"/>
    <w:rsid w:val="00453AD9"/>
    <w:rsid w:val="00476409"/>
    <w:rsid w:val="00480316"/>
    <w:rsid w:val="00491F90"/>
    <w:rsid w:val="0049342D"/>
    <w:rsid w:val="0049612E"/>
    <w:rsid w:val="004A0962"/>
    <w:rsid w:val="004A5527"/>
    <w:rsid w:val="004B0259"/>
    <w:rsid w:val="004B0687"/>
    <w:rsid w:val="004B3974"/>
    <w:rsid w:val="004B682C"/>
    <w:rsid w:val="004C160A"/>
    <w:rsid w:val="004C2333"/>
    <w:rsid w:val="004D0600"/>
    <w:rsid w:val="004D4F19"/>
    <w:rsid w:val="004F231A"/>
    <w:rsid w:val="004F411E"/>
    <w:rsid w:val="004F5C9C"/>
    <w:rsid w:val="00500E28"/>
    <w:rsid w:val="0050117C"/>
    <w:rsid w:val="005018F6"/>
    <w:rsid w:val="00501B58"/>
    <w:rsid w:val="00501D20"/>
    <w:rsid w:val="0050572C"/>
    <w:rsid w:val="00510DE1"/>
    <w:rsid w:val="0051720E"/>
    <w:rsid w:val="005268FB"/>
    <w:rsid w:val="00527CFE"/>
    <w:rsid w:val="00537827"/>
    <w:rsid w:val="00566BFE"/>
    <w:rsid w:val="0056720E"/>
    <w:rsid w:val="00567F6A"/>
    <w:rsid w:val="0058372F"/>
    <w:rsid w:val="0058492A"/>
    <w:rsid w:val="00584C5A"/>
    <w:rsid w:val="00586794"/>
    <w:rsid w:val="00590E90"/>
    <w:rsid w:val="005A4C62"/>
    <w:rsid w:val="005E4765"/>
    <w:rsid w:val="006065B7"/>
    <w:rsid w:val="00607B02"/>
    <w:rsid w:val="00607D55"/>
    <w:rsid w:val="00621BBC"/>
    <w:rsid w:val="00630AE3"/>
    <w:rsid w:val="006402E5"/>
    <w:rsid w:val="00644962"/>
    <w:rsid w:val="00646127"/>
    <w:rsid w:val="00650698"/>
    <w:rsid w:val="006549D1"/>
    <w:rsid w:val="006609D6"/>
    <w:rsid w:val="006955EC"/>
    <w:rsid w:val="006A06EF"/>
    <w:rsid w:val="006A253C"/>
    <w:rsid w:val="006A4A41"/>
    <w:rsid w:val="006B595C"/>
    <w:rsid w:val="006C0607"/>
    <w:rsid w:val="006C5B1A"/>
    <w:rsid w:val="006D661A"/>
    <w:rsid w:val="006E51DF"/>
    <w:rsid w:val="006E7BED"/>
    <w:rsid w:val="006F290B"/>
    <w:rsid w:val="006F354F"/>
    <w:rsid w:val="0070216A"/>
    <w:rsid w:val="007129D7"/>
    <w:rsid w:val="00716034"/>
    <w:rsid w:val="00721339"/>
    <w:rsid w:val="007307F2"/>
    <w:rsid w:val="00734E7C"/>
    <w:rsid w:val="007401A5"/>
    <w:rsid w:val="00740661"/>
    <w:rsid w:val="00742C75"/>
    <w:rsid w:val="00775B3E"/>
    <w:rsid w:val="00776381"/>
    <w:rsid w:val="00777ACB"/>
    <w:rsid w:val="0078252B"/>
    <w:rsid w:val="007B066E"/>
    <w:rsid w:val="007B18F9"/>
    <w:rsid w:val="007E13BD"/>
    <w:rsid w:val="007E1A0B"/>
    <w:rsid w:val="007E36D7"/>
    <w:rsid w:val="007F1E08"/>
    <w:rsid w:val="007F2947"/>
    <w:rsid w:val="007F3A42"/>
    <w:rsid w:val="0080363F"/>
    <w:rsid w:val="00803D78"/>
    <w:rsid w:val="00810BAD"/>
    <w:rsid w:val="00815E39"/>
    <w:rsid w:val="00820159"/>
    <w:rsid w:val="008273A0"/>
    <w:rsid w:val="008314E3"/>
    <w:rsid w:val="0083607A"/>
    <w:rsid w:val="008468B7"/>
    <w:rsid w:val="00847F3B"/>
    <w:rsid w:val="00874C78"/>
    <w:rsid w:val="00876CF8"/>
    <w:rsid w:val="00886C0E"/>
    <w:rsid w:val="00891E55"/>
    <w:rsid w:val="00892528"/>
    <w:rsid w:val="00897154"/>
    <w:rsid w:val="00897BAE"/>
    <w:rsid w:val="008A1D9D"/>
    <w:rsid w:val="008A3092"/>
    <w:rsid w:val="008A62BD"/>
    <w:rsid w:val="008A7099"/>
    <w:rsid w:val="008B1175"/>
    <w:rsid w:val="008B30C0"/>
    <w:rsid w:val="008B3E93"/>
    <w:rsid w:val="008C063F"/>
    <w:rsid w:val="008C289A"/>
    <w:rsid w:val="008D0E81"/>
    <w:rsid w:val="008D23DD"/>
    <w:rsid w:val="008D2D31"/>
    <w:rsid w:val="008D4D11"/>
    <w:rsid w:val="008D6A08"/>
    <w:rsid w:val="008E0CC9"/>
    <w:rsid w:val="008E2124"/>
    <w:rsid w:val="008E5018"/>
    <w:rsid w:val="008F1A9C"/>
    <w:rsid w:val="008F36D8"/>
    <w:rsid w:val="008F3997"/>
    <w:rsid w:val="008F4456"/>
    <w:rsid w:val="008F74B7"/>
    <w:rsid w:val="009037A0"/>
    <w:rsid w:val="00910CF2"/>
    <w:rsid w:val="00941B70"/>
    <w:rsid w:val="00944768"/>
    <w:rsid w:val="00947FF4"/>
    <w:rsid w:val="009504E1"/>
    <w:rsid w:val="00966E70"/>
    <w:rsid w:val="00992544"/>
    <w:rsid w:val="00995125"/>
    <w:rsid w:val="009953F1"/>
    <w:rsid w:val="009955BF"/>
    <w:rsid w:val="009A3F13"/>
    <w:rsid w:val="009A6BB7"/>
    <w:rsid w:val="009C1A55"/>
    <w:rsid w:val="009C30CB"/>
    <w:rsid w:val="009D1FD9"/>
    <w:rsid w:val="009E1BD4"/>
    <w:rsid w:val="009F5AE3"/>
    <w:rsid w:val="00A17490"/>
    <w:rsid w:val="00A40AE8"/>
    <w:rsid w:val="00A537AB"/>
    <w:rsid w:val="00A65007"/>
    <w:rsid w:val="00A66A83"/>
    <w:rsid w:val="00A72658"/>
    <w:rsid w:val="00A76973"/>
    <w:rsid w:val="00A76CF8"/>
    <w:rsid w:val="00A967BB"/>
    <w:rsid w:val="00AA213C"/>
    <w:rsid w:val="00AA2CBF"/>
    <w:rsid w:val="00AB3BE7"/>
    <w:rsid w:val="00AC50F3"/>
    <w:rsid w:val="00AD7F77"/>
    <w:rsid w:val="00AE4575"/>
    <w:rsid w:val="00AE5AAB"/>
    <w:rsid w:val="00AE691C"/>
    <w:rsid w:val="00AF0A61"/>
    <w:rsid w:val="00AF5FB6"/>
    <w:rsid w:val="00B0718A"/>
    <w:rsid w:val="00B07506"/>
    <w:rsid w:val="00B10DB8"/>
    <w:rsid w:val="00B11879"/>
    <w:rsid w:val="00B162B9"/>
    <w:rsid w:val="00B2243A"/>
    <w:rsid w:val="00B35BFD"/>
    <w:rsid w:val="00B43C87"/>
    <w:rsid w:val="00B64CFE"/>
    <w:rsid w:val="00B7302F"/>
    <w:rsid w:val="00B91B56"/>
    <w:rsid w:val="00B91D0B"/>
    <w:rsid w:val="00B940A2"/>
    <w:rsid w:val="00B94C68"/>
    <w:rsid w:val="00BA00BA"/>
    <w:rsid w:val="00BA1A13"/>
    <w:rsid w:val="00BB01DB"/>
    <w:rsid w:val="00BB2B93"/>
    <w:rsid w:val="00BB3975"/>
    <w:rsid w:val="00BB787A"/>
    <w:rsid w:val="00BB78C0"/>
    <w:rsid w:val="00BC11BB"/>
    <w:rsid w:val="00BC2D0D"/>
    <w:rsid w:val="00BD4E85"/>
    <w:rsid w:val="00BE1B1A"/>
    <w:rsid w:val="00BE554F"/>
    <w:rsid w:val="00C0226D"/>
    <w:rsid w:val="00C04FC6"/>
    <w:rsid w:val="00C112A7"/>
    <w:rsid w:val="00C16207"/>
    <w:rsid w:val="00C162D7"/>
    <w:rsid w:val="00C32257"/>
    <w:rsid w:val="00C3771D"/>
    <w:rsid w:val="00C609BE"/>
    <w:rsid w:val="00C60FE6"/>
    <w:rsid w:val="00C62732"/>
    <w:rsid w:val="00C71E45"/>
    <w:rsid w:val="00C735DF"/>
    <w:rsid w:val="00C90EFD"/>
    <w:rsid w:val="00CA7124"/>
    <w:rsid w:val="00CB1D6B"/>
    <w:rsid w:val="00CB4621"/>
    <w:rsid w:val="00CC149C"/>
    <w:rsid w:val="00CD0AC0"/>
    <w:rsid w:val="00CD1CAA"/>
    <w:rsid w:val="00CD5893"/>
    <w:rsid w:val="00CE24B6"/>
    <w:rsid w:val="00CE459C"/>
    <w:rsid w:val="00CF463D"/>
    <w:rsid w:val="00CF59FB"/>
    <w:rsid w:val="00CF74F0"/>
    <w:rsid w:val="00CF7E6B"/>
    <w:rsid w:val="00D07D7D"/>
    <w:rsid w:val="00D163F7"/>
    <w:rsid w:val="00D25078"/>
    <w:rsid w:val="00D30AD1"/>
    <w:rsid w:val="00D31B2B"/>
    <w:rsid w:val="00D335B6"/>
    <w:rsid w:val="00D34666"/>
    <w:rsid w:val="00D37F57"/>
    <w:rsid w:val="00D5056B"/>
    <w:rsid w:val="00D56A68"/>
    <w:rsid w:val="00D70454"/>
    <w:rsid w:val="00D717C5"/>
    <w:rsid w:val="00DB475F"/>
    <w:rsid w:val="00DD513E"/>
    <w:rsid w:val="00DD7A1A"/>
    <w:rsid w:val="00DE1BA7"/>
    <w:rsid w:val="00DF2B1F"/>
    <w:rsid w:val="00DF5CB3"/>
    <w:rsid w:val="00E0114C"/>
    <w:rsid w:val="00E177CB"/>
    <w:rsid w:val="00E24A6E"/>
    <w:rsid w:val="00E26847"/>
    <w:rsid w:val="00E31CD8"/>
    <w:rsid w:val="00E33D76"/>
    <w:rsid w:val="00E36BE3"/>
    <w:rsid w:val="00E37399"/>
    <w:rsid w:val="00E56BDE"/>
    <w:rsid w:val="00E6217E"/>
    <w:rsid w:val="00E80DB1"/>
    <w:rsid w:val="00E81F5F"/>
    <w:rsid w:val="00E947F2"/>
    <w:rsid w:val="00EA23AA"/>
    <w:rsid w:val="00EA508B"/>
    <w:rsid w:val="00EB42AB"/>
    <w:rsid w:val="00EB7746"/>
    <w:rsid w:val="00ED3432"/>
    <w:rsid w:val="00EE1F0C"/>
    <w:rsid w:val="00EE6766"/>
    <w:rsid w:val="00EF3B01"/>
    <w:rsid w:val="00F06E2D"/>
    <w:rsid w:val="00F1077E"/>
    <w:rsid w:val="00F2511E"/>
    <w:rsid w:val="00F26054"/>
    <w:rsid w:val="00F27B0F"/>
    <w:rsid w:val="00F31C1A"/>
    <w:rsid w:val="00F372D9"/>
    <w:rsid w:val="00F44B9C"/>
    <w:rsid w:val="00F55F6C"/>
    <w:rsid w:val="00F70794"/>
    <w:rsid w:val="00F72D56"/>
    <w:rsid w:val="00F754E8"/>
    <w:rsid w:val="00F82E41"/>
    <w:rsid w:val="00F83479"/>
    <w:rsid w:val="00F84548"/>
    <w:rsid w:val="00F9234F"/>
    <w:rsid w:val="00F94952"/>
    <w:rsid w:val="00F97F7E"/>
    <w:rsid w:val="00FB64A5"/>
    <w:rsid w:val="00FC05DE"/>
    <w:rsid w:val="00FC0784"/>
    <w:rsid w:val="00FC6C78"/>
    <w:rsid w:val="00FD5BF8"/>
    <w:rsid w:val="00FE094E"/>
    <w:rsid w:val="00FE1B45"/>
    <w:rsid w:val="00FE2DF2"/>
    <w:rsid w:val="00FE2EF2"/>
    <w:rsid w:val="00FE4F4E"/>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1B7"/>
  <w15:chartTrackingRefBased/>
  <w15:docId w15:val="{B2C0F3BD-D37A-40D7-82E3-E9171309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263DF5"/>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263DF5"/>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263DF5"/>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263DF5"/>
    <w:pPr>
      <w:widowControl/>
      <w:outlineLvl w:val="3"/>
    </w:pPr>
    <w:rPr>
      <w:rFonts w:eastAsiaTheme="minorHAnsi"/>
      <w:b/>
      <w:bCs/>
    </w:rPr>
  </w:style>
  <w:style w:type="paragraph" w:styleId="Heading5">
    <w:name w:val="heading 5"/>
    <w:basedOn w:val="Normal"/>
    <w:next w:val="Normal"/>
    <w:link w:val="Heading5Char"/>
    <w:uiPriority w:val="9"/>
    <w:unhideWhenUsed/>
    <w:qFormat/>
    <w:rsid w:val="00263DF5"/>
    <w:pPr>
      <w:keepNext/>
      <w:keepLines/>
      <w:widowControl/>
      <w:autoSpaceDE/>
      <w:autoSpaceDN/>
      <w:adjustRightInd/>
      <w:spacing w:before="40"/>
      <w:textAlignment w:val="auto"/>
      <w:outlineLvl w:val="4"/>
    </w:pPr>
    <w:rPr>
      <w:rFonts w:eastAsiaTheme="majorEastAsia" w:cstheme="majorBidi"/>
      <w:b/>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Normal"/>
    <w:uiPriority w:val="99"/>
    <w:rsid w:val="001413D5"/>
    <w:pPr>
      <w:suppressAutoHyphens/>
      <w:spacing w:before="0"/>
      <w:ind w:firstLine="245"/>
    </w:pPr>
    <w:rPr>
      <w:szCs w:val="18"/>
    </w:rPr>
  </w:style>
  <w:style w:type="paragraph" w:customStyle="1" w:styleId="CourseIntro">
    <w:name w:val="Course Intro"/>
    <w:basedOn w:val="Normal"/>
    <w:next w:val="Normal"/>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263DF5"/>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263DF5"/>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263DF5"/>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263DF5"/>
    <w:rPr>
      <w:rFonts w:ascii="Times New Roman" w:hAnsi="Times New Roman" w:cs="Times New Roman"/>
      <w:b/>
      <w:bCs/>
      <w:color w:val="000000"/>
      <w:szCs w:val="20"/>
    </w:rPr>
  </w:style>
  <w:style w:type="character" w:customStyle="1" w:styleId="Heading5Char">
    <w:name w:val="Heading 5 Char"/>
    <w:basedOn w:val="DefaultParagraphFont"/>
    <w:link w:val="Heading5"/>
    <w:uiPriority w:val="9"/>
    <w:rsid w:val="00263DF5"/>
    <w:rPr>
      <w:rFonts w:ascii="Times New Roman" w:eastAsiaTheme="majorEastAsia" w:hAnsi="Times New Roman" w:cstheme="majorBidi"/>
      <w:b/>
    </w:rPr>
  </w:style>
  <w:style w:type="paragraph" w:customStyle="1" w:styleId="NoParagraphStyle">
    <w:name w:val="[No Paragraph Style]"/>
    <w:rsid w:val="00263DF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
    <w:name w:val="Headline"/>
    <w:basedOn w:val="NoParagraphStyle"/>
    <w:next w:val="NoParagraphStyle"/>
    <w:uiPriority w:val="99"/>
    <w:rsid w:val="00263DF5"/>
  </w:style>
  <w:style w:type="paragraph" w:styleId="BodyText">
    <w:name w:val="Body Text"/>
    <w:basedOn w:val="Normal"/>
    <w:link w:val="BodyTextChar"/>
    <w:uiPriority w:val="99"/>
    <w:semiHidden/>
    <w:unhideWhenUsed/>
    <w:rsid w:val="00263DF5"/>
    <w:pPr>
      <w:widowControl/>
      <w:spacing w:after="120"/>
    </w:pPr>
    <w:rPr>
      <w:rFonts w:eastAsiaTheme="minorHAnsi"/>
    </w:rPr>
  </w:style>
  <w:style w:type="character" w:customStyle="1" w:styleId="BodyTextChar">
    <w:name w:val="Body Text Char"/>
    <w:basedOn w:val="DefaultParagraphFont"/>
    <w:link w:val="BodyText"/>
    <w:uiPriority w:val="99"/>
    <w:semiHidden/>
    <w:rsid w:val="00263DF5"/>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263DF5"/>
    <w:rPr>
      <w:sz w:val="16"/>
      <w:szCs w:val="16"/>
    </w:rPr>
  </w:style>
  <w:style w:type="paragraph" w:styleId="CommentText">
    <w:name w:val="annotation text"/>
    <w:basedOn w:val="Normal"/>
    <w:link w:val="CommentTextChar"/>
    <w:uiPriority w:val="99"/>
    <w:unhideWhenUsed/>
    <w:rsid w:val="00263DF5"/>
    <w:pPr>
      <w:widowControl/>
    </w:pPr>
    <w:rPr>
      <w:rFonts w:eastAsiaTheme="minorHAnsi"/>
      <w:sz w:val="20"/>
    </w:rPr>
  </w:style>
  <w:style w:type="character" w:customStyle="1" w:styleId="CommentTextChar">
    <w:name w:val="Comment Text Char"/>
    <w:basedOn w:val="DefaultParagraphFont"/>
    <w:link w:val="CommentText"/>
    <w:uiPriority w:val="99"/>
    <w:rsid w:val="00263DF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3DF5"/>
    <w:rPr>
      <w:b/>
      <w:bCs/>
    </w:rPr>
  </w:style>
  <w:style w:type="character" w:customStyle="1" w:styleId="CommentSubjectChar">
    <w:name w:val="Comment Subject Char"/>
    <w:basedOn w:val="CommentTextChar"/>
    <w:link w:val="CommentSubject"/>
    <w:uiPriority w:val="99"/>
    <w:semiHidden/>
    <w:rsid w:val="00263DF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3DF5"/>
    <w:pPr>
      <w:widowControl/>
    </w:pPr>
    <w:rPr>
      <w:rFonts w:ascii="Tahoma" w:eastAsiaTheme="minorHAnsi" w:hAnsi="Tahoma" w:cs="Tahoma"/>
      <w:sz w:val="20"/>
      <w:szCs w:val="16"/>
    </w:rPr>
  </w:style>
  <w:style w:type="character" w:customStyle="1" w:styleId="BalloonTextChar">
    <w:name w:val="Balloon Text Char"/>
    <w:basedOn w:val="DefaultParagraphFont"/>
    <w:link w:val="BalloonText"/>
    <w:uiPriority w:val="99"/>
    <w:semiHidden/>
    <w:rsid w:val="00263DF5"/>
    <w:rPr>
      <w:rFonts w:ascii="Tahoma" w:hAnsi="Tahoma" w:cs="Tahoma"/>
      <w:color w:val="000000"/>
      <w:sz w:val="20"/>
      <w:szCs w:val="16"/>
    </w:rPr>
  </w:style>
  <w:style w:type="paragraph" w:styleId="Header">
    <w:name w:val="header"/>
    <w:link w:val="HeaderChar"/>
    <w:uiPriority w:val="99"/>
    <w:unhideWhenUsed/>
    <w:rsid w:val="00263DF5"/>
    <w:pPr>
      <w:tabs>
        <w:tab w:val="center" w:pos="4680"/>
        <w:tab w:val="right" w:pos="9360"/>
      </w:tabs>
      <w:spacing w:after="0" w:line="240" w:lineRule="auto"/>
      <w:jc w:val="right"/>
    </w:pPr>
    <w:rPr>
      <w:rFonts w:ascii="Calibri" w:hAnsi="Calibri" w:cs="Times New Roman"/>
      <w:b/>
      <w:color w:val="000000"/>
      <w:sz w:val="24"/>
      <w:szCs w:val="20"/>
    </w:rPr>
  </w:style>
  <w:style w:type="character" w:customStyle="1" w:styleId="HeaderChar">
    <w:name w:val="Header Char"/>
    <w:basedOn w:val="DefaultParagraphFont"/>
    <w:link w:val="Header"/>
    <w:uiPriority w:val="99"/>
    <w:rsid w:val="00263DF5"/>
    <w:rPr>
      <w:rFonts w:ascii="Calibri" w:hAnsi="Calibri" w:cs="Times New Roman"/>
      <w:b/>
      <w:color w:val="000000"/>
      <w:sz w:val="24"/>
      <w:szCs w:val="20"/>
    </w:rPr>
  </w:style>
  <w:style w:type="paragraph" w:styleId="Footer">
    <w:name w:val="footer"/>
    <w:basedOn w:val="Normal"/>
    <w:link w:val="FooterChar"/>
    <w:uiPriority w:val="99"/>
    <w:unhideWhenUsed/>
    <w:rsid w:val="00263DF5"/>
    <w:pPr>
      <w:widowControl/>
      <w:tabs>
        <w:tab w:val="center" w:pos="4680"/>
        <w:tab w:val="right" w:pos="9360"/>
      </w:tabs>
    </w:pPr>
    <w:rPr>
      <w:rFonts w:eastAsiaTheme="minorHAnsi"/>
    </w:rPr>
  </w:style>
  <w:style w:type="character" w:customStyle="1" w:styleId="FooterChar">
    <w:name w:val="Footer Char"/>
    <w:basedOn w:val="DefaultParagraphFont"/>
    <w:link w:val="Footer"/>
    <w:uiPriority w:val="99"/>
    <w:rsid w:val="00263DF5"/>
    <w:rPr>
      <w:rFonts w:ascii="Times New Roman" w:hAnsi="Times New Roman" w:cs="Times New Roman"/>
      <w:color w:val="000000"/>
      <w:szCs w:val="20"/>
    </w:rPr>
  </w:style>
  <w:style w:type="paragraph" w:customStyle="1" w:styleId="Footnote">
    <w:name w:val="Footnote"/>
    <w:basedOn w:val="Normal"/>
    <w:link w:val="FootnoteChar"/>
    <w:qFormat/>
    <w:rsid w:val="00263DF5"/>
    <w:pPr>
      <w:widowControl/>
      <w:tabs>
        <w:tab w:val="left" w:pos="160"/>
      </w:tabs>
    </w:pPr>
    <w:rPr>
      <w:rFonts w:asciiTheme="minorHAnsi" w:eastAsiaTheme="minorHAnsi" w:hAnsiTheme="minorHAnsi"/>
      <w:sz w:val="20"/>
    </w:rPr>
  </w:style>
  <w:style w:type="character" w:customStyle="1" w:styleId="FootnoteChar">
    <w:name w:val="Footnote Char"/>
    <w:basedOn w:val="DefaultParagraphFont"/>
    <w:link w:val="Footnote"/>
    <w:rsid w:val="00263DF5"/>
    <w:rPr>
      <w:rFonts w:cs="Times New Roman"/>
      <w:color w:val="000000"/>
      <w:sz w:val="20"/>
      <w:szCs w:val="20"/>
    </w:rPr>
  </w:style>
  <w:style w:type="table" w:styleId="TableGrid">
    <w:name w:val="Table Grid"/>
    <w:basedOn w:val="TableNormal"/>
    <w:uiPriority w:val="59"/>
    <w:rsid w:val="0026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DF5"/>
    <w:pPr>
      <w:widowControl/>
      <w:ind w:left="720"/>
      <w:contextualSpacing/>
    </w:pPr>
    <w:rPr>
      <w:rFonts w:eastAsiaTheme="minorHAnsi"/>
    </w:rPr>
  </w:style>
  <w:style w:type="paragraph" w:styleId="Revision">
    <w:name w:val="Revision"/>
    <w:hidden/>
    <w:uiPriority w:val="99"/>
    <w:semiHidden/>
    <w:rsid w:val="00263DF5"/>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263DF5"/>
    <w:rPr>
      <w:vertAlign w:val="superscript"/>
    </w:rPr>
  </w:style>
  <w:style w:type="paragraph" w:styleId="FootnoteText">
    <w:name w:val="footnote text"/>
    <w:basedOn w:val="Normal"/>
    <w:link w:val="FootnoteTextChar"/>
    <w:uiPriority w:val="99"/>
    <w:unhideWhenUsed/>
    <w:rsid w:val="00263DF5"/>
    <w:pPr>
      <w:widowControl/>
      <w:autoSpaceDE/>
      <w:autoSpaceDN/>
      <w:adjustRightInd/>
      <w:spacing w:before="0"/>
      <w:textAlignment w:val="auto"/>
    </w:pPr>
    <w:rPr>
      <w:rFonts w:cstheme="minorBidi"/>
      <w:color w:val="auto"/>
      <w:sz w:val="20"/>
    </w:rPr>
  </w:style>
  <w:style w:type="character" w:customStyle="1" w:styleId="FootnoteTextChar">
    <w:name w:val="Footnote Text Char"/>
    <w:basedOn w:val="DefaultParagraphFont"/>
    <w:link w:val="FootnoteText"/>
    <w:uiPriority w:val="99"/>
    <w:rsid w:val="00263DF5"/>
    <w:rPr>
      <w:rFonts w:ascii="Times New Roman" w:eastAsiaTheme="minorEastAsia" w:hAnsi="Times New Roman"/>
      <w:sz w:val="20"/>
      <w:szCs w:val="20"/>
    </w:rPr>
  </w:style>
  <w:style w:type="character" w:styleId="Hyperlink">
    <w:name w:val="Hyperlink"/>
    <w:basedOn w:val="DefaultParagraphFont"/>
    <w:uiPriority w:val="99"/>
    <w:unhideWhenUsed/>
    <w:rsid w:val="00263DF5"/>
    <w:rPr>
      <w:color w:val="0563C1"/>
      <w:u w:val="single"/>
    </w:rPr>
  </w:style>
  <w:style w:type="character" w:styleId="Strong">
    <w:name w:val="Strong"/>
    <w:basedOn w:val="DefaultParagraphFont"/>
    <w:qFormat/>
    <w:rsid w:val="00263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conn.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6618671F-A056-4C99-B490-FD304525CD5E}">
  <ds:schemaRefs>
    <ds:schemaRef ds:uri="http://schemas.openxmlformats.org/officeDocument/2006/bibliography"/>
  </ds:schemaRefs>
</ds:datastoreItem>
</file>

<file path=customXml/itemProps2.xml><?xml version="1.0" encoding="utf-8"?>
<ds:datastoreItem xmlns:ds="http://schemas.openxmlformats.org/officeDocument/2006/customXml" ds:itemID="{E9C4E220-968D-49F9-AF82-066EB1BEAC31}"/>
</file>

<file path=customXml/itemProps3.xml><?xml version="1.0" encoding="utf-8"?>
<ds:datastoreItem xmlns:ds="http://schemas.openxmlformats.org/officeDocument/2006/customXml" ds:itemID="{E4845BA3-D53A-45E4-B053-E600BE7F1ECA}"/>
</file>

<file path=customXml/itemProps4.xml><?xml version="1.0" encoding="utf-8"?>
<ds:datastoreItem xmlns:ds="http://schemas.openxmlformats.org/officeDocument/2006/customXml" ds:itemID="{06D7EC96-E19E-4B6B-B386-796029180DE4}"/>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3</cp:revision>
  <cp:lastPrinted>2017-05-18T20:03:00Z</cp:lastPrinted>
  <dcterms:created xsi:type="dcterms:W3CDTF">2022-07-20T19:46:00Z</dcterms:created>
  <dcterms:modified xsi:type="dcterms:W3CDTF">2023-07-17T17:10:00Z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2294000</vt:r8>
  </property>
  <property fmtid="{D5CDD505-2E9C-101B-9397-08002B2CF9AE}" pid="4" name="MediaServiceImageTags">
    <vt:lpwstr/>
  </property>
</Properties>
</file>