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8" w:rsidRDefault="00982D28" w:rsidP="00982D28">
      <w:pPr>
        <w:pStyle w:val="SubjectArea"/>
        <w:rPr>
          <w:noProof/>
        </w:rPr>
      </w:pPr>
      <w:r w:rsidRPr="00CE7A9B">
        <w:rPr>
          <w:noProof/>
        </w:rPr>
        <w:t>Italian Literary and Cultural Studies (ILCS)</w:t>
      </w:r>
    </w:p>
    <w:p w:rsidR="00982D28" w:rsidRDefault="00982D28" w:rsidP="00982D28">
      <w:pPr>
        <w:pStyle w:val="DeptWebsite"/>
        <w:rPr>
          <w:noProof/>
        </w:rPr>
      </w:pPr>
      <w:r>
        <w:rPr>
          <w:noProof/>
        </w:rPr>
        <w:t>languages.uconn.edu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5315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Introduction to Contemporary Literary Studies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Contemporary methods and fields of literary analysis. Paradigms of literary studies and overview of Marxist, Freudian, Feminist, Historicist, and Culturalist criticism.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 Literature of the Origins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Poets and poetical schools of the Duecento from the Franciscans to the Sicilians and the "Dolce stil nuovo."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5333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on Boccaccio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The Italian lyrics and narrative poems, the Decameron and its seminal importance for prose fiction, the scholarly Italian and Latin works.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5335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Baroque Literature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The beginnings of baroque literary style and its ramifications in the seventeenth century.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5337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Theories and Methods of Modern Criticism I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Aesthetic problems from Vico to the present day.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5339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on Modern Literature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 May be repeated for a maximum of nine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One leading writer from the last two centuries.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Divina Commedia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5345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Studies in Italian Literature or Philology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Variable (1-6) credits. May be repeated for credit.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5347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Italian Chivalric Poetry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5352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Modern Italian Poetry I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Post-romantic masters through the twentieth century experiments: e.g., the Crepuscolari, Futurists, Hermeticists.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5354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Masters of Twentieth-Century Fiction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Pirandello, Svevo, Moravia, Pavese, Vittorini.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5375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Topics in Early Modern Italian Studies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Italian. May be repeated once for credit with a change in topic.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lastRenderedPageBreak/>
        <w:t>A variable topics course focusing on early modern Italian culture.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5376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Topics in Modern and Contemporary Italian Studies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Italian. May be repeated once for credit with a change in topic.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A variable topics course focusing on modern and contemporary Italian culture.</w:t>
      </w:r>
    </w:p>
    <w:p w:rsidR="00982D28" w:rsidRDefault="00982D28" w:rsidP="00982D28">
      <w:pPr>
        <w:pStyle w:val="CourseTitle"/>
        <w:rPr>
          <w:noProof/>
        </w:rPr>
      </w:pPr>
      <w:r w:rsidRPr="00CE7A9B">
        <w:rPr>
          <w:noProof/>
        </w:rPr>
        <w:t>5377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Topics in Transnational Italy</w:t>
      </w:r>
    </w:p>
    <w:p w:rsidR="00982D28" w:rsidRDefault="00982D28" w:rsidP="00982D28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Italian. With a change in topic, may be repeated for a maximum of six credits.</w:t>
      </w:r>
    </w:p>
    <w:p w:rsidR="00982D28" w:rsidRDefault="00982D28" w:rsidP="00982D28">
      <w:pPr>
        <w:pStyle w:val="CourseDescription"/>
      </w:pPr>
      <w:r w:rsidRPr="00CE7A9B">
        <w:rPr>
          <w:noProof/>
        </w:rPr>
        <w:t>Variable topics course focusing on cultural, historical and political intersections between Italy and other nations.</w:t>
      </w:r>
    </w:p>
    <w:p w:rsidR="00225DDD" w:rsidRDefault="00982D28"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8"/>
    <w:rsid w:val="00707BC3"/>
    <w:rsid w:val="00982D28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8E945-2E6A-48C5-A469-C9526169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982D28"/>
    <w:pPr>
      <w:widowControl w:val="0"/>
      <w:suppressAutoHyphens/>
      <w:autoSpaceDE w:val="0"/>
      <w:autoSpaceDN w:val="0"/>
      <w:adjustRightInd w:val="0"/>
      <w:spacing w:after="0" w:line="240" w:lineRule="auto"/>
      <w:ind w:firstLine="245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982D28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982D28"/>
    <w:pPr>
      <w:widowControl w:val="0"/>
      <w:suppressAutoHyphens/>
      <w:autoSpaceDE w:val="0"/>
      <w:autoSpaceDN w:val="0"/>
      <w:adjustRightInd w:val="0"/>
      <w:spacing w:before="120" w:after="60" w:line="240" w:lineRule="auto"/>
      <w:textAlignment w:val="center"/>
    </w:pPr>
    <w:rPr>
      <w:rFonts w:ascii="Arial" w:eastAsiaTheme="minorEastAsia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982D28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982D28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2019-08-08T15:07:00Z</dcterms:created>
  <dcterms:modified xsi:type="dcterms:W3CDTF">2019-08-08T15:07:00Z</dcterms:modified>
</cp:coreProperties>
</file>