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05:57:24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95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National Student</w:t>
      </w:r>
      <w:r>
        <w:rPr>
          <w:b/>
          <w:spacing w:val="-59"/>
          <w:sz w:val="20"/>
          <w:u w:val="single"/>
        </w:rPr>
        <w:t> </w:t>
      </w:r>
      <w:r>
        <w:rPr>
          <w:b/>
          <w:sz w:val="20"/>
          <w:u w:val="single"/>
        </w:rPr>
        <w:t>Exchange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274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27"/>
        <w:ind w:left="32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9"/>
        <w:rPr>
          <w:sz w:val="15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NSE</w:t>
        <w:tab/>
        <w:t>1000</w:t>
        <w:tab/>
        <w:t>001</w:t>
        <w:tab/>
        <w:t>3037</w:t>
        <w:tab/>
        <w:t>National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Exchange</w:t>
        <w:tab/>
        <w:t>Practicum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1037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6172pt" to="765.360035pt,9.12617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NSE</w:t>
        <w:tab/>
        <w:t>2000</w:t>
        <w:tab/>
        <w:t>001</w:t>
        <w:tab/>
        <w:t>3038</w:t>
        <w:tab/>
        <w:t>National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Exchange</w:t>
        <w:tab/>
        <w:t>Practicum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1037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NSE</w:t>
        <w:tab/>
        <w:t>5000</w:t>
        <w:tab/>
        <w:t>001</w:t>
        <w:tab/>
        <w:t>3039</w:t>
        <w:tab/>
        <w:t>National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Exchange</w:t>
        <w:tab/>
        <w:t>Practicum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1037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3952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/apps/domain/dom4/appserv/prcs/CSPR/log_output/SQR_SR201_7185609/sr201_7185609.PDF</dc:title>
  <dcterms:created xsi:type="dcterms:W3CDTF">2020-07-24T19:53:48Z</dcterms:created>
  <dcterms:modified xsi:type="dcterms:W3CDTF">2020-07-24T19:53:48Z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